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4" w:lineRule="atLeast"/>
        <w:ind w:right="0"/>
        <w:jc w:val="center"/>
        <w:rPr>
          <w:rFonts w:hint="eastAsia" w:ascii="黑体" w:hAnsi="黑体" w:eastAsia="黑体" w:cs="黑体"/>
          <w:b/>
          <w:bCs/>
          <w:kern w:val="2"/>
          <w:sz w:val="36"/>
          <w:szCs w:val="36"/>
          <w:lang w:val="en-US" w:eastAsia="zh-CN" w:bidi="ar-SA"/>
        </w:rPr>
      </w:pPr>
      <w:r>
        <w:rPr>
          <w:rFonts w:hint="eastAsia" w:ascii="黑体" w:hAnsi="黑体" w:eastAsia="黑体" w:cs="黑体"/>
          <w:b/>
          <w:bCs/>
          <w:kern w:val="2"/>
          <w:sz w:val="36"/>
          <w:szCs w:val="36"/>
          <w:lang w:val="en-US" w:eastAsia="zh-CN" w:bidi="ar-SA"/>
        </w:rPr>
        <w:t>江苏理工学院青年教师导师制实施办法</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4" w:lineRule="atLeast"/>
        <w:ind w:left="0" w:right="0" w:firstLine="560"/>
        <w:rPr>
          <w:rFonts w:hint="eastAsia" w:ascii="仿宋_GB2312" w:hAnsi="宋体" w:eastAsia="仿宋_GB2312" w:cs="Times New Roman"/>
          <w:kern w:val="2"/>
          <w:sz w:val="28"/>
          <w:szCs w:val="28"/>
          <w:lang w:val="en-US" w:eastAsia="zh-CN" w:bidi="ar-SA"/>
        </w:rPr>
      </w:pP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4" w:lineRule="atLeast"/>
        <w:ind w:left="0" w:right="0" w:firstLine="560"/>
        <w:rPr>
          <w:rFonts w:hint="eastAsia" w:ascii="仿宋_GB2312" w:hAnsi="宋体" w:eastAsia="仿宋_GB2312" w:cs="Times New Roman"/>
          <w:kern w:val="2"/>
          <w:sz w:val="28"/>
          <w:szCs w:val="28"/>
          <w:lang w:val="en-US" w:eastAsia="zh-CN" w:bidi="ar-SA"/>
        </w:rPr>
      </w:pPr>
      <w:r>
        <w:rPr>
          <w:rFonts w:hint="eastAsia" w:ascii="仿宋_GB2312" w:hAnsi="宋体" w:eastAsia="仿宋_GB2312" w:cs="Times New Roman"/>
          <w:kern w:val="2"/>
          <w:sz w:val="28"/>
          <w:szCs w:val="28"/>
          <w:lang w:val="en-US" w:eastAsia="zh-CN" w:bidi="ar-SA"/>
        </w:rPr>
        <w:t>根据学校师资队伍建设规划要求，为加快青年教师培养，发挥骨干教师的传帮带作用，帮助青年教师尽快适应、熟悉高等学校的教育教学和科研工作，提升师资队伍建设总体水平，确保人才培养质量，参照《江苏理工学院青年教师导师制实施办法》，特制定本实施方案。</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4" w:lineRule="atLeast"/>
        <w:ind w:left="0" w:right="0" w:firstLine="560"/>
        <w:rPr>
          <w:rFonts w:hint="eastAsia" w:ascii="仿宋_GB2312" w:hAnsi="宋体" w:eastAsia="仿宋_GB2312" w:cs="Times New Roman"/>
          <w:b/>
          <w:bCs/>
          <w:kern w:val="2"/>
          <w:sz w:val="28"/>
          <w:szCs w:val="28"/>
          <w:lang w:val="en-US" w:eastAsia="zh-CN" w:bidi="ar-SA"/>
        </w:rPr>
      </w:pPr>
      <w:r>
        <w:rPr>
          <w:rFonts w:hint="eastAsia" w:ascii="仿宋_GB2312" w:hAnsi="宋体" w:eastAsia="仿宋_GB2312" w:cs="Times New Roman"/>
          <w:b/>
          <w:bCs/>
          <w:kern w:val="2"/>
          <w:sz w:val="28"/>
          <w:szCs w:val="28"/>
          <w:lang w:val="en-US" w:eastAsia="zh-CN" w:bidi="ar-SA"/>
        </w:rPr>
        <w:t>一、实施对象</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4" w:lineRule="atLeast"/>
        <w:ind w:left="0" w:right="0" w:firstLine="560"/>
        <w:rPr>
          <w:rFonts w:hint="eastAsia" w:ascii="仿宋_GB2312" w:hAnsi="宋体" w:eastAsia="仿宋_GB2312" w:cs="Times New Roman"/>
          <w:kern w:val="2"/>
          <w:sz w:val="28"/>
          <w:szCs w:val="28"/>
          <w:lang w:val="en-US" w:eastAsia="zh-CN" w:bidi="ar-SA"/>
        </w:rPr>
      </w:pPr>
      <w:r>
        <w:rPr>
          <w:rFonts w:hint="eastAsia" w:ascii="仿宋_GB2312" w:hAnsi="宋体" w:eastAsia="仿宋_GB2312" w:cs="Times New Roman"/>
          <w:kern w:val="2"/>
          <w:sz w:val="28"/>
          <w:szCs w:val="28"/>
          <w:lang w:val="en-US" w:eastAsia="zh-CN" w:bidi="ar-SA"/>
        </w:rPr>
        <w:t>2024年新进体育学院，在教师岗位上工作的毕业生、从事高校教师工作不满一年的新调入人员。</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4" w:lineRule="atLeast"/>
        <w:ind w:left="0" w:right="0" w:firstLine="560"/>
        <w:rPr>
          <w:rFonts w:hint="eastAsia" w:ascii="仿宋_GB2312" w:hAnsi="宋体" w:eastAsia="仿宋_GB2312" w:cs="Times New Roman"/>
          <w:b/>
          <w:bCs/>
          <w:kern w:val="2"/>
          <w:sz w:val="28"/>
          <w:szCs w:val="28"/>
          <w:lang w:val="en-US" w:eastAsia="zh-CN" w:bidi="ar-SA"/>
        </w:rPr>
      </w:pPr>
      <w:r>
        <w:rPr>
          <w:rFonts w:hint="eastAsia" w:ascii="仿宋_GB2312" w:hAnsi="宋体" w:eastAsia="仿宋_GB2312" w:cs="Times New Roman"/>
          <w:b/>
          <w:bCs/>
          <w:kern w:val="2"/>
          <w:sz w:val="28"/>
          <w:szCs w:val="28"/>
          <w:lang w:val="en-US" w:eastAsia="zh-CN" w:bidi="ar-SA"/>
        </w:rPr>
        <w:t>二、基本要求</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4" w:lineRule="atLeast"/>
        <w:ind w:left="0" w:right="0" w:firstLine="560"/>
        <w:rPr>
          <w:rFonts w:hint="eastAsia" w:ascii="仿宋_GB2312" w:hAnsi="宋体" w:eastAsia="仿宋_GB2312" w:cs="Times New Roman"/>
          <w:kern w:val="2"/>
          <w:sz w:val="28"/>
          <w:szCs w:val="28"/>
          <w:lang w:val="en-US" w:eastAsia="zh-CN" w:bidi="ar-SA"/>
        </w:rPr>
      </w:pPr>
      <w:r>
        <w:rPr>
          <w:rFonts w:hint="eastAsia" w:ascii="仿宋_GB2312" w:hAnsi="宋体" w:eastAsia="仿宋_GB2312" w:cs="Times New Roman"/>
          <w:kern w:val="2"/>
          <w:sz w:val="28"/>
          <w:szCs w:val="28"/>
          <w:lang w:val="en-US" w:eastAsia="zh-CN" w:bidi="ar-SA"/>
        </w:rPr>
        <w:t>(一)符合实施对象条件的青年教师必须接受导师指导，指导期为一年。</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4" w:lineRule="atLeast"/>
        <w:ind w:left="0" w:right="0" w:firstLine="560"/>
        <w:rPr>
          <w:rFonts w:hint="eastAsia" w:ascii="仿宋_GB2312" w:hAnsi="宋体" w:eastAsia="仿宋_GB2312" w:cs="Times New Roman"/>
          <w:kern w:val="2"/>
          <w:sz w:val="28"/>
          <w:szCs w:val="28"/>
          <w:lang w:val="en-US" w:eastAsia="zh-CN" w:bidi="ar-SA"/>
        </w:rPr>
      </w:pPr>
      <w:r>
        <w:rPr>
          <w:rFonts w:hint="eastAsia" w:ascii="仿宋_GB2312" w:hAnsi="宋体" w:eastAsia="仿宋_GB2312" w:cs="Times New Roman"/>
          <w:kern w:val="2"/>
          <w:sz w:val="28"/>
          <w:szCs w:val="28"/>
          <w:lang w:val="en-US" w:eastAsia="zh-CN" w:bidi="ar-SA"/>
        </w:rPr>
        <w:t>(二)青年教师在导师指导下完成一门课程全过程的授课任务，包括跟班听课、课后辅导、批改作业、试讲、辅助实验指导、实习、助理班主任、参与科学研究等环节内容。</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4" w:lineRule="atLeast"/>
        <w:ind w:left="0" w:right="0" w:firstLine="560"/>
        <w:rPr>
          <w:rFonts w:hint="eastAsia" w:ascii="仿宋_GB2312" w:hAnsi="宋体" w:eastAsia="仿宋_GB2312" w:cs="Times New Roman"/>
          <w:b/>
          <w:bCs/>
          <w:kern w:val="2"/>
          <w:sz w:val="28"/>
          <w:szCs w:val="28"/>
          <w:lang w:val="en-US" w:eastAsia="zh-CN" w:bidi="ar-SA"/>
        </w:rPr>
      </w:pPr>
      <w:r>
        <w:rPr>
          <w:rFonts w:hint="eastAsia" w:ascii="仿宋_GB2312" w:hAnsi="宋体" w:eastAsia="仿宋_GB2312" w:cs="Times New Roman"/>
          <w:b/>
          <w:bCs/>
          <w:kern w:val="2"/>
          <w:sz w:val="28"/>
          <w:szCs w:val="28"/>
          <w:lang w:val="en-US" w:eastAsia="zh-CN" w:bidi="ar-SA"/>
        </w:rPr>
        <w:t>三、导师基本条件</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4" w:lineRule="atLeast"/>
        <w:ind w:left="0" w:right="0" w:firstLine="560"/>
        <w:rPr>
          <w:rFonts w:hint="eastAsia" w:ascii="仿宋_GB2312" w:hAnsi="宋体" w:eastAsia="仿宋_GB2312" w:cs="Times New Roman"/>
          <w:kern w:val="2"/>
          <w:sz w:val="28"/>
          <w:szCs w:val="28"/>
          <w:lang w:val="en-US" w:eastAsia="zh-CN" w:bidi="ar-SA"/>
        </w:rPr>
      </w:pPr>
      <w:r>
        <w:rPr>
          <w:rFonts w:hint="eastAsia" w:ascii="仿宋_GB2312" w:hAnsi="宋体" w:eastAsia="仿宋_GB2312" w:cs="Times New Roman"/>
          <w:kern w:val="2"/>
          <w:sz w:val="28"/>
          <w:szCs w:val="28"/>
          <w:lang w:val="en-US" w:eastAsia="zh-CN" w:bidi="ar-SA"/>
        </w:rPr>
        <w:t>(一)具有副教授或教授专业技术资格，年均课时量饱满，</w:t>
      </w:r>
      <w:bookmarkStart w:id="0" w:name="_GoBack"/>
      <w:bookmarkEnd w:id="0"/>
      <w:r>
        <w:rPr>
          <w:rFonts w:hint="eastAsia" w:ascii="仿宋_GB2312" w:hAnsi="宋体" w:eastAsia="仿宋_GB2312" w:cs="Times New Roman"/>
          <w:kern w:val="2"/>
          <w:sz w:val="28"/>
          <w:szCs w:val="28"/>
          <w:lang w:val="en-US" w:eastAsia="zh-CN" w:bidi="ar-SA"/>
        </w:rPr>
        <w:t>且有与接受指导的青年教师相同或相近的专业背景。</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4" w:lineRule="atLeast"/>
        <w:ind w:left="0" w:right="0" w:firstLine="560"/>
        <w:rPr>
          <w:rFonts w:hint="default" w:ascii="仿宋_GB2312" w:hAnsi="宋体" w:eastAsia="仿宋_GB2312" w:cs="Times New Roman"/>
          <w:kern w:val="2"/>
          <w:sz w:val="28"/>
          <w:szCs w:val="28"/>
          <w:lang w:val="en-US" w:eastAsia="zh-CN" w:bidi="ar-SA"/>
        </w:rPr>
      </w:pPr>
      <w:r>
        <w:rPr>
          <w:rFonts w:hint="eastAsia" w:ascii="仿宋_GB2312" w:hAnsi="宋体" w:eastAsia="仿宋_GB2312" w:cs="Times New Roman"/>
          <w:kern w:val="2"/>
          <w:sz w:val="28"/>
          <w:szCs w:val="28"/>
          <w:lang w:val="en-US" w:eastAsia="zh-CN" w:bidi="ar-SA"/>
        </w:rPr>
        <w:t>(二)具有高尚的师德师风，治学严谨，且有丰富的教学经验和良好的教学效果，学术造诣较深，科研能力较强。</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4" w:lineRule="atLeast"/>
        <w:ind w:left="0" w:right="0" w:firstLine="560"/>
        <w:rPr>
          <w:rFonts w:hint="default" w:ascii="仿宋_GB2312" w:hAnsi="宋体" w:eastAsia="仿宋_GB2312" w:cs="Times New Roman"/>
          <w:kern w:val="2"/>
          <w:sz w:val="28"/>
          <w:szCs w:val="28"/>
          <w:lang w:val="en-US" w:eastAsia="zh-CN" w:bidi="ar-SA"/>
        </w:rPr>
      </w:pPr>
      <w:r>
        <w:rPr>
          <w:rFonts w:hint="eastAsia" w:ascii="仿宋_GB2312" w:hAnsi="宋体" w:eastAsia="仿宋_GB2312" w:cs="Times New Roman"/>
          <w:kern w:val="2"/>
          <w:sz w:val="28"/>
          <w:szCs w:val="28"/>
          <w:lang w:val="en-US" w:eastAsia="zh-CN" w:bidi="ar-SA"/>
        </w:rPr>
        <w:t>1.师德师风方面，荣获校级及以上优秀教师或优秀共产党员。</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4" w:lineRule="atLeast"/>
        <w:ind w:left="0" w:right="0" w:firstLine="560"/>
        <w:rPr>
          <w:rFonts w:hint="default" w:ascii="仿宋_GB2312" w:hAnsi="宋体" w:eastAsia="仿宋_GB2312" w:cs="Times New Roman"/>
          <w:kern w:val="2"/>
          <w:sz w:val="28"/>
          <w:szCs w:val="28"/>
          <w:lang w:val="en-US" w:eastAsia="zh-CN" w:bidi="ar-SA"/>
        </w:rPr>
      </w:pPr>
      <w:r>
        <w:rPr>
          <w:rFonts w:hint="eastAsia" w:ascii="仿宋_GB2312" w:hAnsi="宋体" w:eastAsia="仿宋_GB2312" w:cs="Times New Roman"/>
          <w:kern w:val="2"/>
          <w:sz w:val="28"/>
          <w:szCs w:val="28"/>
          <w:lang w:val="en-US" w:eastAsia="zh-CN" w:bidi="ar-SA"/>
        </w:rPr>
        <w:t>2.教学效果方面，荣获校级及以上教学成果奖，或获批校级及以上优秀课程，或获批省级及以上教学竞赛奖项，并发表教研类论文2篇以上。</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4" w:lineRule="atLeast"/>
        <w:ind w:left="0" w:right="0" w:firstLine="560"/>
        <w:rPr>
          <w:rFonts w:hint="default" w:ascii="仿宋_GB2312" w:hAnsi="宋体" w:eastAsia="仿宋_GB2312" w:cs="Times New Roman"/>
          <w:kern w:val="2"/>
          <w:sz w:val="28"/>
          <w:szCs w:val="28"/>
          <w:lang w:val="en-US" w:eastAsia="zh-CN" w:bidi="ar-SA"/>
        </w:rPr>
      </w:pPr>
      <w:r>
        <w:rPr>
          <w:rFonts w:hint="eastAsia" w:ascii="仿宋_GB2312" w:hAnsi="宋体" w:eastAsia="仿宋_GB2312" w:cs="Times New Roman"/>
          <w:kern w:val="2"/>
          <w:sz w:val="28"/>
          <w:szCs w:val="28"/>
          <w:lang w:val="en-US" w:eastAsia="zh-CN" w:bidi="ar-SA"/>
        </w:rPr>
        <w:t>3.科研能力方面，获批省级及以上教科研项目，并发表1篇以上核心期刊论文。</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4" w:lineRule="atLeast"/>
        <w:ind w:left="0" w:right="0" w:firstLine="560"/>
        <w:rPr>
          <w:rFonts w:hint="eastAsia" w:ascii="仿宋_GB2312" w:hAnsi="宋体" w:eastAsia="仿宋_GB2312" w:cs="Times New Roman"/>
          <w:kern w:val="2"/>
          <w:sz w:val="28"/>
          <w:szCs w:val="28"/>
          <w:lang w:val="en-US" w:eastAsia="zh-CN" w:bidi="ar-SA"/>
        </w:rPr>
      </w:pPr>
      <w:r>
        <w:rPr>
          <w:rFonts w:hint="eastAsia" w:ascii="仿宋_GB2312" w:hAnsi="宋体" w:eastAsia="仿宋_GB2312" w:cs="Times New Roman"/>
          <w:kern w:val="2"/>
          <w:sz w:val="28"/>
          <w:szCs w:val="28"/>
          <w:lang w:val="en-US" w:eastAsia="zh-CN" w:bidi="ar-SA"/>
        </w:rPr>
        <w:t>(三)身体健康，能担负导师工作职责。</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4" w:lineRule="atLeast"/>
        <w:ind w:left="0" w:right="0" w:firstLine="560"/>
        <w:rPr>
          <w:rFonts w:hint="eastAsia" w:ascii="仿宋_GB2312" w:hAnsi="宋体" w:eastAsia="仿宋_GB2312" w:cs="Times New Roman"/>
          <w:b/>
          <w:bCs/>
          <w:kern w:val="2"/>
          <w:sz w:val="28"/>
          <w:szCs w:val="28"/>
          <w:lang w:val="en-US" w:eastAsia="zh-CN" w:bidi="ar-SA"/>
        </w:rPr>
      </w:pPr>
      <w:r>
        <w:rPr>
          <w:rFonts w:hint="eastAsia" w:ascii="仿宋_GB2312" w:hAnsi="宋体" w:eastAsia="仿宋_GB2312" w:cs="Times New Roman"/>
          <w:b/>
          <w:bCs/>
          <w:kern w:val="2"/>
          <w:sz w:val="28"/>
          <w:szCs w:val="28"/>
          <w:lang w:val="en-US" w:eastAsia="zh-CN" w:bidi="ar-SA"/>
        </w:rPr>
        <w:t>四、导师工作职责</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4" w:lineRule="atLeast"/>
        <w:ind w:left="0" w:right="0" w:firstLine="560"/>
        <w:rPr>
          <w:rFonts w:hint="eastAsia" w:ascii="仿宋_GB2312" w:hAnsi="宋体" w:eastAsia="仿宋_GB2312" w:cs="Times New Roman"/>
          <w:kern w:val="2"/>
          <w:sz w:val="28"/>
          <w:szCs w:val="28"/>
          <w:lang w:val="en-US" w:eastAsia="zh-CN" w:bidi="ar-SA"/>
        </w:rPr>
      </w:pPr>
      <w:r>
        <w:rPr>
          <w:rFonts w:hint="eastAsia" w:ascii="仿宋_GB2312" w:hAnsi="宋体" w:eastAsia="仿宋_GB2312" w:cs="Times New Roman"/>
          <w:kern w:val="2"/>
          <w:sz w:val="28"/>
          <w:szCs w:val="28"/>
          <w:lang w:val="en-US" w:eastAsia="zh-CN" w:bidi="ar-SA"/>
        </w:rPr>
        <w:t>(一)针对所指导青年教师的实际情况，制订整个指导期内的切实可行的整体指导方案和发展目标，经学院同意后实施。</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4" w:lineRule="atLeast"/>
        <w:ind w:left="0" w:right="0" w:firstLine="560"/>
        <w:rPr>
          <w:rFonts w:hint="eastAsia" w:ascii="仿宋_GB2312" w:hAnsi="宋体" w:eastAsia="仿宋_GB2312" w:cs="Times New Roman"/>
          <w:kern w:val="2"/>
          <w:sz w:val="28"/>
          <w:szCs w:val="28"/>
          <w:lang w:val="en-US" w:eastAsia="zh-CN" w:bidi="ar-SA"/>
        </w:rPr>
      </w:pPr>
      <w:r>
        <w:rPr>
          <w:rFonts w:hint="eastAsia" w:ascii="仿宋_GB2312" w:hAnsi="宋体" w:eastAsia="仿宋_GB2312" w:cs="Times New Roman"/>
          <w:kern w:val="2"/>
          <w:sz w:val="28"/>
          <w:szCs w:val="28"/>
          <w:lang w:val="en-US" w:eastAsia="zh-CN" w:bidi="ar-SA"/>
        </w:rPr>
        <w:t>(二)对青年教师进行师德教育，传授科学的教育思想，培养青年教师严谨踏实、实事求是的科学态度和敬业精神。</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4" w:lineRule="atLeast"/>
        <w:ind w:left="0" w:right="0" w:firstLine="560"/>
        <w:rPr>
          <w:rFonts w:hint="eastAsia" w:ascii="仿宋_GB2312" w:hAnsi="宋体" w:eastAsia="仿宋_GB2312" w:cs="Times New Roman"/>
          <w:kern w:val="2"/>
          <w:sz w:val="28"/>
          <w:szCs w:val="28"/>
          <w:lang w:val="en-US" w:eastAsia="zh-CN" w:bidi="ar-SA"/>
        </w:rPr>
      </w:pPr>
      <w:r>
        <w:rPr>
          <w:rFonts w:hint="eastAsia" w:ascii="仿宋_GB2312" w:hAnsi="宋体" w:eastAsia="仿宋_GB2312" w:cs="Times New Roman"/>
          <w:kern w:val="2"/>
          <w:sz w:val="28"/>
          <w:szCs w:val="28"/>
          <w:lang w:val="en-US" w:eastAsia="zh-CN" w:bidi="ar-SA"/>
        </w:rPr>
        <w:t>(三)指导青年教师至少掌握一门课程的教学内容、教学要点以及与本课程相关学科的前沿知识，培养其从事教学、科研的能力，吸收青年教师参与科研工作。</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4" w:lineRule="atLeast"/>
        <w:ind w:left="0" w:right="0" w:firstLine="560"/>
        <w:rPr>
          <w:rFonts w:hint="eastAsia" w:ascii="仿宋_GB2312" w:hAnsi="宋体" w:eastAsia="仿宋_GB2312" w:cs="Times New Roman"/>
          <w:kern w:val="2"/>
          <w:sz w:val="28"/>
          <w:szCs w:val="28"/>
          <w:lang w:val="en-US" w:eastAsia="zh-CN" w:bidi="ar-SA"/>
        </w:rPr>
      </w:pPr>
      <w:r>
        <w:rPr>
          <w:rFonts w:hint="eastAsia" w:ascii="仿宋_GB2312" w:hAnsi="宋体" w:eastAsia="仿宋_GB2312" w:cs="Times New Roman"/>
          <w:kern w:val="2"/>
          <w:sz w:val="28"/>
          <w:szCs w:val="28"/>
          <w:lang w:val="en-US" w:eastAsia="zh-CN" w:bidi="ar-SA"/>
        </w:rPr>
        <w:t>(四)指导青年教师撰写讲课提纲和教案，了解并熟悉课程教学基本理论和相关学科的前沿知识；掌握正确的教学方法，熟悉并把握基本的高校教学规律和教学规范。</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4" w:lineRule="atLeast"/>
        <w:ind w:left="0" w:right="0" w:firstLine="560"/>
        <w:rPr>
          <w:rFonts w:hint="eastAsia" w:ascii="仿宋_GB2312" w:hAnsi="宋体" w:eastAsia="仿宋_GB2312" w:cs="Times New Roman"/>
          <w:kern w:val="2"/>
          <w:sz w:val="28"/>
          <w:szCs w:val="28"/>
          <w:lang w:val="en-US" w:eastAsia="zh-CN" w:bidi="ar-SA"/>
        </w:rPr>
      </w:pPr>
      <w:r>
        <w:rPr>
          <w:rFonts w:hint="eastAsia" w:ascii="仿宋_GB2312" w:hAnsi="宋体" w:eastAsia="仿宋_GB2312" w:cs="Times New Roman"/>
          <w:kern w:val="2"/>
          <w:sz w:val="28"/>
          <w:szCs w:val="28"/>
          <w:lang w:val="en-US" w:eastAsia="zh-CN" w:bidi="ar-SA"/>
        </w:rPr>
        <w:t>(五)结合课程的内容、特点，运用各种教学手段和现代教学技术，鼓励并指导青年教师进行教学改革实践，提高教学质量。</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4" w:lineRule="atLeast"/>
        <w:ind w:left="0" w:right="0" w:firstLine="560"/>
        <w:rPr>
          <w:rFonts w:hint="eastAsia" w:ascii="仿宋_GB2312" w:hAnsi="宋体" w:eastAsia="仿宋_GB2312" w:cs="Times New Roman"/>
          <w:b/>
          <w:bCs/>
          <w:kern w:val="2"/>
          <w:sz w:val="28"/>
          <w:szCs w:val="28"/>
          <w:lang w:val="en-US" w:eastAsia="zh-CN" w:bidi="ar-SA"/>
        </w:rPr>
      </w:pPr>
      <w:r>
        <w:rPr>
          <w:rFonts w:hint="eastAsia" w:ascii="仿宋_GB2312" w:hAnsi="宋体" w:eastAsia="仿宋_GB2312" w:cs="Times New Roman"/>
          <w:b/>
          <w:bCs/>
          <w:kern w:val="2"/>
          <w:sz w:val="28"/>
          <w:szCs w:val="28"/>
          <w:lang w:val="en-US" w:eastAsia="zh-CN" w:bidi="ar-SA"/>
        </w:rPr>
        <w:t>五、考核要求</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4" w:lineRule="atLeast"/>
        <w:ind w:left="0" w:right="0" w:firstLine="560"/>
        <w:rPr>
          <w:rFonts w:hint="eastAsia" w:ascii="仿宋_GB2312" w:hAnsi="宋体" w:eastAsia="仿宋_GB2312" w:cs="Times New Roman"/>
          <w:kern w:val="2"/>
          <w:sz w:val="28"/>
          <w:szCs w:val="28"/>
          <w:lang w:val="en-US" w:eastAsia="zh-CN" w:bidi="ar-SA"/>
        </w:rPr>
      </w:pPr>
      <w:r>
        <w:rPr>
          <w:rFonts w:hint="eastAsia" w:ascii="仿宋_GB2312" w:hAnsi="宋体" w:eastAsia="仿宋_GB2312" w:cs="Times New Roman"/>
          <w:kern w:val="2"/>
          <w:sz w:val="28"/>
          <w:szCs w:val="28"/>
          <w:lang w:val="en-US" w:eastAsia="zh-CN" w:bidi="ar-SA"/>
        </w:rPr>
        <w:t>(一)对导师的考核以过程考核为主，由学校教务处根据文件进行考核。指导期满，导师对照职责要求撰写履职报告，提交学校教务处考核工作小组审核，考核结果（分为“优秀”、“合格”与“不合格”）报人事处、教务处备案。</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4" w:lineRule="atLeast"/>
        <w:ind w:left="0" w:right="0" w:firstLine="560"/>
        <w:rPr>
          <w:rFonts w:hint="eastAsia" w:ascii="仿宋_GB2312" w:hAnsi="宋体" w:eastAsia="仿宋_GB2312" w:cs="Times New Roman"/>
          <w:kern w:val="2"/>
          <w:sz w:val="28"/>
          <w:szCs w:val="28"/>
          <w:lang w:val="en-US" w:eastAsia="zh-CN" w:bidi="ar-SA"/>
        </w:rPr>
      </w:pPr>
      <w:r>
        <w:rPr>
          <w:rFonts w:hint="eastAsia" w:ascii="仿宋_GB2312" w:hAnsi="宋体" w:eastAsia="仿宋_GB2312" w:cs="Times New Roman"/>
          <w:kern w:val="2"/>
          <w:sz w:val="28"/>
          <w:szCs w:val="28"/>
          <w:lang w:val="en-US" w:eastAsia="zh-CN" w:bidi="ar-SA"/>
        </w:rPr>
        <w:t>(二)青年教师的考核注重过程考核与结果考核相结合，由学校负责。指导期满后，接受指导的青年教师对照有关要求，撰写心得体会和工作总结，导师给出评价意见；学院组织专家通过试讲、评议教案等方式对青年教师主讲课程的能力、水平和教案质量进行考核。青年教师需递交一学期课程的教案。青年教师考核合格后报学校人事处和教务处备案。</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4" w:lineRule="atLeast"/>
        <w:ind w:left="0" w:right="0" w:firstLine="560"/>
        <w:rPr>
          <w:rFonts w:hint="eastAsia" w:ascii="仿宋_GB2312" w:hAnsi="宋体" w:eastAsia="仿宋_GB2312" w:cs="Times New Roman"/>
          <w:kern w:val="2"/>
          <w:sz w:val="28"/>
          <w:szCs w:val="28"/>
          <w:lang w:val="en-US" w:eastAsia="zh-CN" w:bidi="ar-SA"/>
        </w:rPr>
      </w:pPr>
      <w:r>
        <w:rPr>
          <w:rFonts w:hint="eastAsia" w:ascii="仿宋_GB2312" w:hAnsi="宋体" w:eastAsia="仿宋_GB2312" w:cs="Times New Roman"/>
          <w:kern w:val="2"/>
          <w:sz w:val="28"/>
          <w:szCs w:val="28"/>
          <w:lang w:val="en-US" w:eastAsia="zh-CN" w:bidi="ar-SA"/>
        </w:rPr>
        <w:t>(三)指导青年教师工作纳入教师系列高级专业技术资格评审和岗位聘任要求。</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4" w:lineRule="atLeast"/>
        <w:ind w:left="0" w:right="0" w:firstLine="560"/>
        <w:rPr>
          <w:rFonts w:hint="eastAsia" w:ascii="仿宋_GB2312" w:hAnsi="宋体" w:eastAsia="仿宋_GB2312" w:cs="Times New Roman"/>
          <w:kern w:val="2"/>
          <w:sz w:val="28"/>
          <w:szCs w:val="28"/>
          <w:lang w:val="en-US" w:eastAsia="zh-CN" w:bidi="ar-SA"/>
        </w:rPr>
      </w:pPr>
      <w:r>
        <w:rPr>
          <w:rFonts w:hint="eastAsia" w:ascii="仿宋_GB2312" w:hAnsi="宋体" w:eastAsia="仿宋_GB2312" w:cs="Times New Roman"/>
          <w:kern w:val="2"/>
          <w:sz w:val="28"/>
          <w:szCs w:val="28"/>
          <w:lang w:val="en-US" w:eastAsia="zh-CN" w:bidi="ar-SA"/>
        </w:rPr>
        <w:t>(四)青年教师在接受指导结束时考核不合格者，不得晋升专业技术资格、不得参加其他形式的进修学习，同时延长指导期限或调整岗位或予以待聘处理。</w:t>
      </w:r>
    </w:p>
    <w:p>
      <w:pPr>
        <w:rPr>
          <w:rFonts w:hint="eastAsia" w:ascii="仿宋_GB2312" w:hAnsi="宋体" w:eastAsia="仿宋_GB2312" w:cs="Times New Roman"/>
          <w:kern w:val="2"/>
          <w:sz w:val="28"/>
          <w:szCs w:val="28"/>
          <w:lang w:val="en-US" w:eastAsia="zh-CN" w:bidi="ar-SA"/>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仿宋_GB2312">
    <w:altName w:val="仿宋"/>
    <w:panose1 w:val="00000000000000000000"/>
    <w:charset w:val="00"/>
    <w:family w:val="auto"/>
    <w:pitch w:val="default"/>
    <w:sig w:usb0="00000000" w:usb1="00000000" w:usb2="0000000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jVkODliMjk4YTkyNDJkMzM3MGI5OWQxNTk5ZDg3NTcifQ=="/>
    <w:docVar w:name="KSO_WPS_MARK_KEY" w:val="fcc56b61-f6ae-43e3-912f-f2480ea48722"/>
  </w:docVars>
  <w:rsids>
    <w:rsidRoot w:val="00000000"/>
    <w:rsid w:val="03E0637D"/>
    <w:rsid w:val="0D38528A"/>
    <w:rsid w:val="3541233E"/>
    <w:rsid w:val="6F5B5EC5"/>
    <w:rsid w:val="707304F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qFormat/>
    <w:uiPriority w:val="0"/>
    <w:pPr>
      <w:spacing w:before="0" w:beforeAutospacing="1" w:after="0" w:afterAutospacing="1"/>
      <w:ind w:left="0" w:right="0"/>
      <w:jc w:val="left"/>
    </w:pPr>
    <w:rPr>
      <w:kern w:val="0"/>
      <w:sz w:val="24"/>
      <w:lang w:val="en-US" w:eastAsia="zh-CN" w:bidi="ar"/>
    </w:rPr>
  </w:style>
  <w:style w:type="character" w:styleId="5">
    <w:name w:val="Strong"/>
    <w:basedOn w:val="4"/>
    <w:qFormat/>
    <w:uiPriority w:val="0"/>
    <w:rPr>
      <w:b/>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1195</Words>
  <Characters>1201</Characters>
  <Lines>0</Lines>
  <Paragraphs>0</Paragraphs>
  <TotalTime>3</TotalTime>
  <ScaleCrop>false</ScaleCrop>
  <LinksUpToDate>false</LinksUpToDate>
  <CharactersWithSpaces>1201</CharactersWithSpaces>
  <Application>WPS Office_11.1.0.12165_F1E327BC-269C-435d-A152-05C5408002CA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2024-09-11T03:41:00Z</dcterms:created>
  <dc:creator>User</dc:creator>
  <cp:lastModifiedBy>User</cp:lastModifiedBy>
  <dcterms:modified xsi:type="dcterms:W3CDTF">2024-10-08T00:46:04Z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2052-11.1.0.12165</vt:lpwstr>
  </property>
  <property fmtid="{D5CDD505-2E9C-101B-9397-08002B2CF9AE}" pid="3" name="ICV">
    <vt:lpwstr>7217D76363564D3E8735CE823F6C6E21</vt:lpwstr>
  </property>
</Properties>
</file>